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C91F9A">
      <w:pPr>
        <w:pStyle w:val="6"/>
        <w:spacing w:after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17AB32BF">
      <w:pPr>
        <w:pStyle w:val="6"/>
        <w:spacing w:after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2BE5A50A">
      <w:pPr>
        <w:pStyle w:val="6"/>
        <w:spacing w:after="0" w:line="36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OBRAZLOŽENJE UZ 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hr-HR"/>
        </w:rPr>
        <w:t>PRVE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IZMJENE I DOPUNE PRORA</w:t>
      </w:r>
      <w:r>
        <w:rPr>
          <w:rFonts w:ascii="Times New Roman" w:hAnsi="Times New Roman" w:cs="Times New Roman"/>
          <w:b/>
          <w:bCs/>
          <w:sz w:val="28"/>
          <w:szCs w:val="28"/>
        </w:rPr>
        <w:t>ČUNA OPĆINE STARI JANKOVCI ZA 202</w:t>
      </w:r>
      <w:r>
        <w:rPr>
          <w:rFonts w:hint="default" w:ascii="Times New Roman" w:hAnsi="Times New Roman" w:cs="Times New Roman"/>
          <w:b/>
          <w:bCs/>
          <w:sz w:val="28"/>
          <w:szCs w:val="28"/>
          <w:lang w:val="hr-HR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>. GODINU</w:t>
      </w:r>
    </w:p>
    <w:p w14:paraId="23F9381E">
      <w:pPr>
        <w:pStyle w:val="6"/>
        <w:spacing w:after="0"/>
        <w:jc w:val="center"/>
        <w:rPr>
          <w:rFonts w:cs="Calibri"/>
        </w:rPr>
      </w:pPr>
    </w:p>
    <w:p w14:paraId="0966BC0E">
      <w:pPr>
        <w:pStyle w:val="6"/>
        <w:spacing w:after="0"/>
        <w:jc w:val="left"/>
        <w:rPr>
          <w:rFonts w:hint="default" w:cs="Calibri"/>
          <w:lang w:val="hr-HR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175727505"/>
      <w:r>
        <w:rPr>
          <w:rFonts w:ascii="Times New Roman" w:hAnsi="Times New Roman" w:cs="Times New Roman"/>
          <w:sz w:val="24"/>
          <w:szCs w:val="24"/>
        </w:rPr>
        <w:t xml:space="preserve">Razlozi </w:t>
      </w:r>
      <w:r>
        <w:rPr>
          <w:rFonts w:hint="default" w:ascii="Times New Roman" w:hAnsi="Times New Roman" w:cs="Times New Roman"/>
          <w:sz w:val="24"/>
          <w:szCs w:val="24"/>
          <w:lang w:val="hr-HR"/>
        </w:rPr>
        <w:t>I</w:t>
      </w:r>
      <w:r>
        <w:rPr>
          <w:rFonts w:ascii="Times New Roman" w:hAnsi="Times New Roman" w:cs="Times New Roman"/>
          <w:sz w:val="24"/>
          <w:szCs w:val="24"/>
        </w:rPr>
        <w:t>. Izmjena i dopuna proračuna za 202</w:t>
      </w:r>
      <w:r>
        <w:rPr>
          <w:rFonts w:hint="default" w:ascii="Times New Roman" w:hAnsi="Times New Roman" w:cs="Times New Roman"/>
          <w:sz w:val="24"/>
          <w:szCs w:val="24"/>
          <w:lang w:val="hr-HR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godinu jesu izmjene i dopune u prihodima: </w:t>
      </w:r>
      <w:r>
        <w:rPr>
          <w:rFonts w:hint="default" w:ascii="Times New Roman" w:hAnsi="Times New Roman" w:cs="Times New Roman"/>
          <w:sz w:val="24"/>
          <w:szCs w:val="24"/>
          <w:lang w:val="hr-HR"/>
        </w:rPr>
        <w:t>smanjenje pomoći fiskalnog izravnanja po dobivenim prihodima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hint="default" w:ascii="Times New Roman" w:hAnsi="Times New Roman" w:cs="Times New Roman"/>
          <w:sz w:val="24"/>
          <w:szCs w:val="24"/>
          <w:lang w:val="hr-HR"/>
        </w:rPr>
        <w:t>povećanje šumskog doprinosa prema realizaciji,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  <w:lang w:val="hr-HR"/>
        </w:rPr>
        <w:t>smanjenje Nadogradnje vrtića jer će ugovor biti izvršen 2025.g</w:t>
      </w:r>
      <w:r>
        <w:rPr>
          <w:rFonts w:ascii="Times New Roman" w:hAnsi="Times New Roman" w:cs="Times New Roman"/>
          <w:sz w:val="24"/>
          <w:szCs w:val="24"/>
        </w:rPr>
        <w:t xml:space="preserve">. Razlozi izmjena i dopuna u rashodima: Povećanje na </w:t>
      </w:r>
      <w:bookmarkEnd w:id="0"/>
      <w:r>
        <w:rPr>
          <w:rFonts w:hint="default" w:ascii="Times New Roman" w:hAnsi="Times New Roman" w:cs="Times New Roman"/>
          <w:sz w:val="24"/>
          <w:szCs w:val="24"/>
          <w:lang w:val="hr-HR"/>
        </w:rPr>
        <w:t xml:space="preserve">pozicijama Održavanje groblja, , Oprema i uređaji, Potpora za kupnju prve nekretnine, Sufinanciranje troškova jaslica, Potpora za uređenje fasada obiteljskih kuća i dr. zbog povećanih troškova odnosno realizacije, te smanjenje na Sklonište za pse, Izgradnja cesta, Autobusna stajlaišta, Fontane, i dio sredstava za Nadogradnju vrtića budući da projekti neće biti izvršeni u 2025.g. </w:t>
      </w:r>
    </w:p>
    <w:p w14:paraId="4DBC9D3C">
      <w:pPr>
        <w:pStyle w:val="6"/>
        <w:numPr>
          <w:ilvl w:val="0"/>
          <w:numId w:val="0"/>
        </w:numPr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5782AD14">
      <w:pPr>
        <w:pStyle w:val="6"/>
        <w:numPr>
          <w:ilvl w:val="0"/>
          <w:numId w:val="0"/>
        </w:numPr>
        <w:spacing w:after="0"/>
        <w:jc w:val="left"/>
        <w:rPr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hr-HR"/>
        </w:rPr>
        <w:t>1.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SVEUKUPNO PRORA</w:t>
      </w:r>
      <w:r>
        <w:rPr>
          <w:rFonts w:ascii="Times New Roman" w:hAnsi="Times New Roman" w:cs="Times New Roman"/>
          <w:b/>
          <w:bCs/>
          <w:sz w:val="24"/>
          <w:szCs w:val="24"/>
        </w:rPr>
        <w:t>ČUN</w:t>
      </w:r>
    </w:p>
    <w:p w14:paraId="4B36BAF2">
      <w:pPr>
        <w:pStyle w:val="6"/>
        <w:spacing w:after="0"/>
        <w:jc w:val="left"/>
        <w:rPr>
          <w:rFonts w:cs="Calibri"/>
          <w:sz w:val="24"/>
          <w:szCs w:val="24"/>
          <w:lang w:val="en-US"/>
        </w:rPr>
      </w:pPr>
    </w:p>
    <w:p w14:paraId="0DAEB839">
      <w:pPr>
        <w:pStyle w:val="6"/>
        <w:spacing w:after="0"/>
        <w:ind w:firstLine="709"/>
        <w:jc w:val="left"/>
      </w:pPr>
      <w:r>
        <w:rPr>
          <w:rFonts w:ascii="Times New Roman" w:hAnsi="Times New Roman" w:cs="Times New Roman"/>
          <w:sz w:val="24"/>
          <w:szCs w:val="24"/>
          <w:lang w:val="en-US"/>
        </w:rPr>
        <w:t>Gledaju</w:t>
      </w:r>
      <w:r>
        <w:rPr>
          <w:rFonts w:ascii="Times New Roman" w:hAnsi="Times New Roman" w:cs="Times New Roman"/>
          <w:sz w:val="24"/>
          <w:szCs w:val="24"/>
        </w:rPr>
        <w:t xml:space="preserve">ći sveukupno Proračun Općine Stari Jankovci po ovim izmjenama i dopunama  iznosi </w:t>
      </w:r>
      <w:r>
        <w:rPr>
          <w:rFonts w:hint="default" w:ascii="Times New Roman" w:hAnsi="Times New Roman" w:cs="Times New Roman"/>
          <w:sz w:val="24"/>
          <w:szCs w:val="24"/>
          <w:lang w:val="hr-HR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default" w:ascii="Times New Roman" w:hAnsi="Times New Roman" w:cs="Times New Roman"/>
          <w:sz w:val="24"/>
          <w:szCs w:val="24"/>
          <w:lang w:val="hr-HR"/>
        </w:rPr>
        <w:t>220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hint="default" w:ascii="Times New Roman" w:hAnsi="Times New Roman" w:cs="Times New Roman"/>
          <w:sz w:val="24"/>
          <w:szCs w:val="24"/>
          <w:lang w:val="hr-HR"/>
        </w:rPr>
        <w:t>200</w:t>
      </w:r>
      <w:r>
        <w:rPr>
          <w:rFonts w:ascii="Times New Roman" w:hAnsi="Times New Roman" w:cs="Times New Roman"/>
          <w:sz w:val="24"/>
          <w:szCs w:val="24"/>
        </w:rPr>
        <w:t>,00 eura.</w:t>
      </w:r>
    </w:p>
    <w:p w14:paraId="213D129B">
      <w:pPr>
        <w:pStyle w:val="6"/>
        <w:spacing w:after="0"/>
        <w:jc w:val="left"/>
        <w:rPr>
          <w:rFonts w:cs="Calibri"/>
          <w:lang w:val="en-US"/>
        </w:rPr>
      </w:pPr>
    </w:p>
    <w:p w14:paraId="1ED1C60E">
      <w:pPr>
        <w:pStyle w:val="6"/>
        <w:numPr>
          <w:ilvl w:val="0"/>
          <w:numId w:val="1"/>
        </w:numPr>
        <w:spacing w:after="0"/>
        <w:ind w:left="360" w:leftChars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PRIHODI I PRIMICI</w:t>
      </w:r>
    </w:p>
    <w:p w14:paraId="70A7D948">
      <w:pPr>
        <w:pStyle w:val="6"/>
        <w:spacing w:after="0"/>
        <w:jc w:val="left"/>
        <w:rPr>
          <w:rFonts w:cs="Calibri"/>
          <w:lang w:val="en-US"/>
        </w:rPr>
      </w:pPr>
    </w:p>
    <w:p w14:paraId="449E32A1">
      <w:pPr>
        <w:pStyle w:val="6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Prihodi iznose </w:t>
      </w:r>
      <w:r>
        <w:rPr>
          <w:rFonts w:hint="default" w:ascii="Times New Roman" w:hAnsi="Times New Roman" w:cs="Times New Roman"/>
          <w:sz w:val="24"/>
          <w:szCs w:val="24"/>
          <w:lang w:val="hr-HR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hint="default" w:ascii="Times New Roman" w:hAnsi="Times New Roman" w:cs="Times New Roman"/>
          <w:sz w:val="24"/>
          <w:szCs w:val="24"/>
          <w:lang w:val="hr-HR"/>
        </w:rPr>
        <w:t>220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>
        <w:rPr>
          <w:rFonts w:hint="default" w:ascii="Times New Roman" w:hAnsi="Times New Roman" w:cs="Times New Roman"/>
          <w:sz w:val="24"/>
          <w:szCs w:val="24"/>
          <w:lang w:val="hr-HR"/>
        </w:rPr>
        <w:t>200</w:t>
      </w:r>
      <w:r>
        <w:rPr>
          <w:rFonts w:ascii="Times New Roman" w:hAnsi="Times New Roman" w:cs="Times New Roman"/>
          <w:sz w:val="24"/>
          <w:szCs w:val="24"/>
          <w:lang w:val="en-US"/>
        </w:rPr>
        <w:t>,00 eura.</w:t>
      </w:r>
    </w:p>
    <w:p w14:paraId="27975206">
      <w:pPr>
        <w:pStyle w:val="6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cs="Times New Roman"/>
          <w:sz w:val="24"/>
          <w:szCs w:val="24"/>
          <w:lang w:val="hr-HR"/>
        </w:rPr>
        <w:t>Smanjenje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sveukupno u iznosu od</w:t>
      </w:r>
      <w:r>
        <w:rPr>
          <w:rFonts w:hint="default" w:ascii="Times New Roman" w:hAnsi="Times New Roman" w:cs="Times New Roman"/>
          <w:sz w:val="24"/>
          <w:szCs w:val="24"/>
          <w:lang w:val="hr-HR"/>
        </w:rPr>
        <w:t xml:space="preserve"> 258.400</w:t>
      </w:r>
      <w:r>
        <w:rPr>
          <w:rFonts w:ascii="Times New Roman" w:hAnsi="Times New Roman" w:cs="Times New Roman"/>
          <w:sz w:val="24"/>
          <w:szCs w:val="24"/>
          <w:lang w:val="en-US"/>
        </w:rPr>
        <w:t>,00 eura.</w:t>
      </w:r>
    </w:p>
    <w:p w14:paraId="40B766D5">
      <w:pPr>
        <w:pStyle w:val="6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</w:p>
    <w:p w14:paraId="6EB8EA77">
      <w:pPr>
        <w:pStyle w:val="6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Prihodi se uskla</w:t>
      </w:r>
      <w:r>
        <w:rPr>
          <w:rFonts w:ascii="Times New Roman" w:hAnsi="Times New Roman" w:cs="Times New Roman"/>
          <w:sz w:val="24"/>
          <w:szCs w:val="24"/>
        </w:rPr>
        <w:t>đaju po kontima te su promjene kod:</w:t>
      </w:r>
    </w:p>
    <w:p w14:paraId="7C61C579">
      <w:pPr>
        <w:pStyle w:val="6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3"/>
        <w:tblW w:w="14398" w:type="dxa"/>
        <w:tblInd w:w="137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387"/>
        <w:gridCol w:w="7311"/>
        <w:gridCol w:w="2820"/>
        <w:gridCol w:w="2880"/>
      </w:tblGrid>
      <w:tr w14:paraId="5A8DDDC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38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13C91">
            <w:pPr>
              <w:pStyle w:val="6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731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D5A72">
            <w:pPr>
              <w:pStyle w:val="6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282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3A41A">
            <w:pPr>
              <w:pStyle w:val="6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88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B475F">
            <w:pPr>
              <w:pStyle w:val="6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14:paraId="563321D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38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11194">
            <w:pPr>
              <w:pStyle w:val="6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731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C13C9">
            <w:pPr>
              <w:pStyle w:val="6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Prihodi od poreza</w:t>
            </w:r>
          </w:p>
        </w:tc>
        <w:tc>
          <w:tcPr>
            <w:tcW w:w="282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FE8A0">
            <w:pPr>
              <w:pStyle w:val="6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8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C1D77">
            <w:pPr>
              <w:pStyle w:val="6"/>
              <w:spacing w:after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  <w:t>358.000,00</w:t>
            </w:r>
          </w:p>
        </w:tc>
      </w:tr>
      <w:tr w14:paraId="7AFEEEC0">
        <w:trPr>
          <w:trHeight w:val="326" w:hRule="atLeast"/>
        </w:trPr>
        <w:tc>
          <w:tcPr>
            <w:tcW w:w="138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522A0">
            <w:pPr>
              <w:pStyle w:val="6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731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E037C">
            <w:pPr>
              <w:pStyle w:val="6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 iz inozemstva I od subjekta unutar općeg proračuna</w:t>
            </w:r>
          </w:p>
        </w:tc>
        <w:tc>
          <w:tcPr>
            <w:tcW w:w="282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857BC">
            <w:pPr>
              <w:pStyle w:val="6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8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A8DCE">
            <w:pPr>
              <w:pStyle w:val="6"/>
              <w:spacing w:after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  <w:t>122.000,00</w:t>
            </w:r>
          </w:p>
        </w:tc>
      </w:tr>
      <w:tr w14:paraId="4C12D04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atLeast"/>
        </w:trPr>
        <w:tc>
          <w:tcPr>
            <w:tcW w:w="138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7CAD8">
            <w:pPr>
              <w:pStyle w:val="6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731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DA399">
            <w:pPr>
              <w:pStyle w:val="6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Prihodi od upravnih i administrativnih pristojbi, pristojbi po posebnim propisima i naknada</w:t>
            </w:r>
          </w:p>
        </w:tc>
        <w:tc>
          <w:tcPr>
            <w:tcW w:w="282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A0A56">
            <w:pPr>
              <w:pStyle w:val="6"/>
              <w:spacing w:after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  <w:t>90.000,00</w:t>
            </w:r>
          </w:p>
        </w:tc>
        <w:tc>
          <w:tcPr>
            <w:tcW w:w="288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B5258">
            <w:pPr>
              <w:pStyle w:val="6"/>
              <w:spacing w:after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14:paraId="1869E5B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atLeast"/>
        </w:trPr>
        <w:tc>
          <w:tcPr>
            <w:tcW w:w="138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7FE8A">
            <w:pPr>
              <w:pStyle w:val="6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731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CF83C">
            <w:pPr>
              <w:pStyle w:val="6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Prihodi od prodaje proizvoda i robe te pruženih usluga i prihodi od donacija</w:t>
            </w:r>
          </w:p>
        </w:tc>
        <w:tc>
          <w:tcPr>
            <w:tcW w:w="282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BD244">
            <w:pPr>
              <w:pStyle w:val="6"/>
              <w:spacing w:after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  <w:t>1.600,00</w:t>
            </w:r>
          </w:p>
        </w:tc>
        <w:tc>
          <w:tcPr>
            <w:tcW w:w="288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E4496">
            <w:pPr>
              <w:pStyle w:val="6"/>
              <w:spacing w:after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14:paraId="509C5D1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26" w:hRule="atLeast"/>
        </w:trPr>
        <w:tc>
          <w:tcPr>
            <w:tcW w:w="138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1C2B0">
            <w:pPr>
              <w:pStyle w:val="6"/>
              <w:spacing w:after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  <w:t>71</w:t>
            </w:r>
          </w:p>
        </w:tc>
        <w:tc>
          <w:tcPr>
            <w:tcW w:w="731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8D540">
            <w:pPr>
              <w:pStyle w:val="6"/>
              <w:spacing w:after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  <w:t>Prihodi od prodaje neproizvedene dugotrajne imovine</w:t>
            </w:r>
          </w:p>
        </w:tc>
        <w:tc>
          <w:tcPr>
            <w:tcW w:w="282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A3FAB">
            <w:pPr>
              <w:pStyle w:val="6"/>
              <w:spacing w:after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  <w:t>130.000,00</w:t>
            </w:r>
          </w:p>
        </w:tc>
        <w:tc>
          <w:tcPr>
            <w:tcW w:w="2880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E49A9">
            <w:pPr>
              <w:pStyle w:val="6"/>
              <w:spacing w:after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</w:tbl>
    <w:p w14:paraId="4FD189AF">
      <w:pPr>
        <w:pStyle w:val="6"/>
        <w:spacing w:after="0"/>
        <w:jc w:val="left"/>
        <w:rPr>
          <w:rFonts w:cs="Calibri"/>
          <w:lang w:val="en-US"/>
        </w:rPr>
      </w:pPr>
    </w:p>
    <w:p w14:paraId="2722C00B">
      <w:pPr>
        <w:pStyle w:val="6"/>
        <w:spacing w:after="0"/>
        <w:ind w:firstLine="709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3.  RASHODI  I  IZDACI</w:t>
      </w:r>
    </w:p>
    <w:p w14:paraId="7B2E21C9">
      <w:pPr>
        <w:pStyle w:val="6"/>
        <w:spacing w:after="0"/>
        <w:ind w:firstLine="709"/>
        <w:jc w:val="left"/>
        <w:rPr>
          <w:rFonts w:cs="Calibri"/>
          <w:lang w:val="en-US"/>
        </w:rPr>
      </w:pPr>
    </w:p>
    <w:p w14:paraId="33D31A46">
      <w:pPr>
        <w:pStyle w:val="6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Rashodi iznose </w:t>
      </w:r>
      <w:r>
        <w:rPr>
          <w:rFonts w:hint="default" w:ascii="Times New Roman" w:hAnsi="Times New Roman" w:cs="Times New Roman"/>
          <w:sz w:val="24"/>
          <w:szCs w:val="24"/>
          <w:lang w:val="hr-HR"/>
        </w:rPr>
        <w:t>6.220.200</w:t>
      </w:r>
      <w:r>
        <w:rPr>
          <w:rFonts w:ascii="Times New Roman" w:hAnsi="Times New Roman" w:cs="Times New Roman"/>
          <w:sz w:val="24"/>
          <w:szCs w:val="24"/>
          <w:lang w:val="en-US"/>
        </w:rPr>
        <w:t>,00 eura.</w:t>
      </w:r>
    </w:p>
    <w:p w14:paraId="44A3CBD1">
      <w:pPr>
        <w:pStyle w:val="6"/>
        <w:spacing w:after="0"/>
        <w:jc w:val="left"/>
        <w:rPr>
          <w:color w:val="000000" w:themeColor="text1"/>
        </w:rPr>
      </w:pP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hr-HR"/>
        </w:rPr>
        <w:t>Smanjenje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sveukupno u iznosu od 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val="hr-HR"/>
        </w:rPr>
        <w:t>258.400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,00 eura.</w:t>
      </w:r>
    </w:p>
    <w:p w14:paraId="5ACEE957">
      <w:pPr>
        <w:pStyle w:val="6"/>
        <w:spacing w:after="0"/>
        <w:ind w:firstLine="709"/>
        <w:jc w:val="left"/>
        <w:rPr>
          <w:rFonts w:cs="Calibri"/>
          <w:color w:val="FF0000"/>
          <w:lang w:val="en-US"/>
        </w:rPr>
      </w:pPr>
    </w:p>
    <w:p w14:paraId="11196808">
      <w:pPr>
        <w:pStyle w:val="6"/>
        <w:spacing w:after="0"/>
        <w:ind w:firstLine="709"/>
        <w:jc w:val="left"/>
      </w:pPr>
      <w:r>
        <w:rPr>
          <w:rFonts w:ascii="Times New Roman" w:hAnsi="Times New Roman" w:cs="Times New Roman"/>
          <w:sz w:val="24"/>
          <w:szCs w:val="24"/>
          <w:lang w:val="de-DE"/>
        </w:rPr>
        <w:t>Rashodi se uskla</w:t>
      </w:r>
      <w:r>
        <w:rPr>
          <w:rFonts w:ascii="Times New Roman" w:hAnsi="Times New Roman" w:cs="Times New Roman"/>
          <w:sz w:val="24"/>
          <w:szCs w:val="24"/>
        </w:rPr>
        <w:t>đaju po kontima te su promjene kod:</w:t>
      </w:r>
      <w:r>
        <w:rPr>
          <w:rFonts w:ascii="Times New Roman" w:hAnsi="Times New Roman" w:cs="Times New Roman"/>
          <w:sz w:val="24"/>
          <w:szCs w:val="24"/>
        </w:rPr>
        <w:br w:type="textWrapping"/>
      </w:r>
    </w:p>
    <w:p w14:paraId="329FB8D8">
      <w:pPr>
        <w:pStyle w:val="6"/>
        <w:spacing w:after="0"/>
        <w:jc w:val="left"/>
        <w:rPr>
          <w:rFonts w:cs="Calibri"/>
          <w:lang w:val="de-DE"/>
        </w:rPr>
      </w:pPr>
    </w:p>
    <w:tbl>
      <w:tblPr>
        <w:tblStyle w:val="3"/>
        <w:tblW w:w="14398" w:type="dxa"/>
        <w:tblInd w:w="137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387"/>
        <w:gridCol w:w="7311"/>
        <w:gridCol w:w="2805"/>
        <w:gridCol w:w="2895"/>
      </w:tblGrid>
      <w:tr w14:paraId="5B3215F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38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2FD94">
            <w:pPr>
              <w:pStyle w:val="6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1" w:name="_Hlk99627931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731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6D8B4">
            <w:pPr>
              <w:pStyle w:val="6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2805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4453C">
            <w:pPr>
              <w:pStyle w:val="6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895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0F274">
            <w:pPr>
              <w:pStyle w:val="6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14:paraId="0031181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38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654F3">
            <w:pPr>
              <w:pStyle w:val="6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731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5D407">
            <w:pPr>
              <w:pStyle w:val="6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Rashodi za zaposlene</w:t>
            </w:r>
          </w:p>
        </w:tc>
        <w:tc>
          <w:tcPr>
            <w:tcW w:w="2805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40429">
            <w:pPr>
              <w:pStyle w:val="6"/>
              <w:spacing w:after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  <w:t>19.600,00</w:t>
            </w:r>
          </w:p>
        </w:tc>
        <w:tc>
          <w:tcPr>
            <w:tcW w:w="2895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056DB">
            <w:pPr>
              <w:pStyle w:val="6"/>
              <w:spacing w:after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14:paraId="628328B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38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1DD9E">
            <w:pPr>
              <w:pStyle w:val="6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731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FE36B">
            <w:pPr>
              <w:pStyle w:val="6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Materijalni rashodi</w:t>
            </w:r>
          </w:p>
        </w:tc>
        <w:tc>
          <w:tcPr>
            <w:tcW w:w="2805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464BA">
            <w:pPr>
              <w:pStyle w:val="6"/>
              <w:spacing w:after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  <w:t>172.800,00</w:t>
            </w:r>
          </w:p>
        </w:tc>
        <w:tc>
          <w:tcPr>
            <w:tcW w:w="2895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8F9C6">
            <w:pPr>
              <w:pStyle w:val="6"/>
              <w:spacing w:after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</w:pPr>
          </w:p>
        </w:tc>
      </w:tr>
      <w:tr w14:paraId="27BC142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38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01751">
            <w:pPr>
              <w:pStyle w:val="6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731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B69BA">
            <w:pPr>
              <w:pStyle w:val="6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Subvencije</w:t>
            </w:r>
          </w:p>
        </w:tc>
        <w:tc>
          <w:tcPr>
            <w:tcW w:w="2805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3BC3E">
            <w:pPr>
              <w:pStyle w:val="6"/>
              <w:spacing w:after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  <w:t>13.500,00</w:t>
            </w:r>
          </w:p>
        </w:tc>
        <w:tc>
          <w:tcPr>
            <w:tcW w:w="2895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96ECA">
            <w:pPr>
              <w:pStyle w:val="6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14:paraId="3B20049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38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E403A">
            <w:pPr>
              <w:pStyle w:val="6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731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2AB4A">
            <w:pPr>
              <w:pStyle w:val="6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Rashodi za nabavu proizvedene dugotrajne imovine</w:t>
            </w:r>
          </w:p>
        </w:tc>
        <w:tc>
          <w:tcPr>
            <w:tcW w:w="2805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214E5">
            <w:pPr>
              <w:pStyle w:val="6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95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854F4">
            <w:pPr>
              <w:pStyle w:val="6"/>
              <w:spacing w:after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  <w:t>243.000,00</w:t>
            </w:r>
          </w:p>
        </w:tc>
      </w:tr>
      <w:tr w14:paraId="526C683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" w:hRule="atLeast"/>
        </w:trPr>
        <w:tc>
          <w:tcPr>
            <w:tcW w:w="1387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9D348">
            <w:pPr>
              <w:pStyle w:val="6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7311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B5BDB">
            <w:pPr>
              <w:pStyle w:val="6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Rashodi za dodatna ulaganja na nefinancijskoj imovini</w:t>
            </w:r>
          </w:p>
        </w:tc>
        <w:tc>
          <w:tcPr>
            <w:tcW w:w="2805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FAD36">
            <w:pPr>
              <w:pStyle w:val="6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95" w:type="dxa"/>
            <w:tcBorders>
              <w:top w:val="single" w:color="00000A" w:sz="4" w:space="0"/>
              <w:left w:val="single" w:color="00000A" w:sz="4" w:space="0"/>
              <w:bottom w:val="single" w:color="00000A" w:sz="4" w:space="0"/>
              <w:right w:val="single" w:color="00000A" w:sz="4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4C37D">
            <w:pPr>
              <w:pStyle w:val="6"/>
              <w:spacing w:after="0"/>
              <w:jc w:val="center"/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hr-HR"/>
              </w:rPr>
              <w:t>221.300,00</w:t>
            </w:r>
          </w:p>
        </w:tc>
      </w:tr>
      <w:bookmarkEnd w:id="1"/>
    </w:tbl>
    <w:p w14:paraId="404D4788">
      <w:pPr>
        <w:pStyle w:val="6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2B77B13">
      <w:pPr>
        <w:pStyle w:val="6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Što se ti</w:t>
      </w:r>
      <w:r>
        <w:rPr>
          <w:rFonts w:ascii="Times New Roman" w:hAnsi="Times New Roman" w:cs="Times New Roman"/>
          <w:sz w:val="24"/>
          <w:szCs w:val="24"/>
        </w:rPr>
        <w:t>če posebnog dijela vidljivo je po samim skupinama gdje su promjene izvršene i na što se odnose.</w:t>
      </w:r>
    </w:p>
    <w:p w14:paraId="6FE9CD5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Sve promjene u Programima, aktivnostima i projektima dajemo u nastavku obrazloženja: </w:t>
      </w:r>
    </w:p>
    <w:p w14:paraId="25B72F38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02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3"/>
        <w:gridCol w:w="5817"/>
        <w:gridCol w:w="1699"/>
        <w:gridCol w:w="1699"/>
        <w:gridCol w:w="1278"/>
        <w:gridCol w:w="1699"/>
      </w:tblGrid>
      <w:tr w14:paraId="64F1E3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3ACD1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Program 1001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194F8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Redovna djelatnost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D9DBB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67.800,00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0A690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9.000,00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E7119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13,27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0D263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76.800,00</w:t>
            </w:r>
          </w:p>
        </w:tc>
      </w:tr>
      <w:tr w14:paraId="539CB3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72B35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A100101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215D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Redovna djelatnost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6B1A9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22.300,00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C2E90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87DBE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2625F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22.300,00</w:t>
            </w:r>
          </w:p>
        </w:tc>
      </w:tr>
      <w:tr w14:paraId="00BFC3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90C1A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A100102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D13CD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Redovna djelatnost političkih stranaka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E4998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7.100,00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FACD0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CF69D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DCB83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7.100,00</w:t>
            </w:r>
          </w:p>
        </w:tc>
      </w:tr>
      <w:tr w14:paraId="46B7B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691BB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A100104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4CB2A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Savjet mladih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CC6135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3.600,00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FCCE2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8286D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2E0E6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3.600,00</w:t>
            </w:r>
          </w:p>
        </w:tc>
      </w:tr>
      <w:tr w14:paraId="770B35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5EF47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A100105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4D801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Vijeća nacionalnih manjina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8ADBC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9.800,00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D240D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AB831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5F329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9.800,00</w:t>
            </w:r>
          </w:p>
        </w:tc>
      </w:tr>
      <w:tr w14:paraId="047911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8EB7C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Tekući projekt T100103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B4853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Izbori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99F75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25207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9.000,00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87C277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52796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34.000,00</w:t>
            </w:r>
          </w:p>
        </w:tc>
      </w:tr>
      <w:tr w14:paraId="25F074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4770C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Program 2001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28A64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Redovna djelatnost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1B60A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1.934.700,00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CDCD0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-275.400,00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DD2F2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-14,23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A093E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1.659.300,00</w:t>
            </w:r>
          </w:p>
        </w:tc>
      </w:tr>
      <w:tr w14:paraId="6F10FC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5F569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A200101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872D6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Redovna djelatnost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4446D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494.600,00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5A7F2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17.200,00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D5D11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3,48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E6095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511.800,00</w:t>
            </w:r>
          </w:p>
        </w:tc>
      </w:tr>
      <w:tr w14:paraId="691A1F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E0387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A200102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71716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Informiranje zajednice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1CF49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9.400,00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F4684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0CA38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6BFAF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9.400,00</w:t>
            </w:r>
          </w:p>
        </w:tc>
      </w:tr>
      <w:tr w14:paraId="5EC366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84962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A200104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38A34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Održavanje i upravljanje nekretninama u vlasništvu Općine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BEA8A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1.380.300,00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F84B7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-292.600,00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3844B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-21,20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CA832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1.087.700,00</w:t>
            </w:r>
          </w:p>
        </w:tc>
      </w:tr>
      <w:tr w14:paraId="66DF8B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87212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Kapitalni projekt K200103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E4225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Nabava opreme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7236F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FDB13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81340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798D6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14.000,00</w:t>
            </w:r>
          </w:p>
        </w:tc>
      </w:tr>
      <w:tr w14:paraId="092945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5EE7B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Kapitalni projekt K200106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8ED60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Lovački domovi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3A408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33.200,00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E17DD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52A43B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AFE36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33.200,00</w:t>
            </w:r>
          </w:p>
        </w:tc>
      </w:tr>
      <w:tr w14:paraId="64FA94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3DC3C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Tekući projekt T200108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67362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Općina/grad prijatelj djece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4B421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08E1D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A2B32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9CBEA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3.200,00</w:t>
            </w:r>
          </w:p>
        </w:tc>
      </w:tr>
      <w:tr w14:paraId="3565CB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E5F65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Program 2002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54507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Održavanje komunalne infrastrukture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A2C1E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439.200,00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F9A1F9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148.200,00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2B96C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33,74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31D91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587.400,00</w:t>
            </w:r>
          </w:p>
        </w:tc>
      </w:tr>
      <w:tr w14:paraId="501836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AF1CE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A200201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F431B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Održavanje javne rasvjete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9D727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33.000,00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D96A1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59836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D2D280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33.000,00</w:t>
            </w:r>
          </w:p>
        </w:tc>
      </w:tr>
      <w:tr w14:paraId="241972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E1136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A200202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CF35E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Održavanje nerazvrstanih cesta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2BA32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30.600,00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5AC7B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9A898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C60DB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30.600,00</w:t>
            </w:r>
          </w:p>
        </w:tc>
      </w:tr>
      <w:tr w14:paraId="0115A1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55C38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A200203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03A2C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Uređenje i održavanje groblja i mrtvačnica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E1026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C117C9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15.000,00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C7518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A8257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30.000,00</w:t>
            </w:r>
          </w:p>
        </w:tc>
      </w:tr>
      <w:tr w14:paraId="32A1EA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BAED6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A200204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87EA7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Održavanje javnih zelenih površina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2E65E1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266.400,00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A38656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112.300,00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47B0A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42,15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8F0D3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378.700,00</w:t>
            </w:r>
          </w:p>
        </w:tc>
      </w:tr>
      <w:tr w14:paraId="67A874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222AD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A200220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AF210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Veterinarske usluge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FBE50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43.000,00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49C60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D69BC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32802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43.000,00</w:t>
            </w:r>
          </w:p>
        </w:tc>
      </w:tr>
      <w:tr w14:paraId="30FC17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FFBDD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A200221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6E043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Održavanje građevina javne odvodnje oborinskih voda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AA280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D9555C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DC943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73D08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</w:tr>
      <w:tr w14:paraId="10DE8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64D5C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A200222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351E6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Održavanje čistoće javnih površina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6F492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79206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3.000,00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CDAAD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15,79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1E2907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22.000,00</w:t>
            </w:r>
          </w:p>
        </w:tc>
      </w:tr>
      <w:tr w14:paraId="00562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D2C06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A200223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B9338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Održavanje građevina, uređaja i predmeta javne namjene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D2446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7B4EE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2FD15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826B3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200,00</w:t>
            </w:r>
          </w:p>
        </w:tc>
      </w:tr>
      <w:tr w14:paraId="2F6A3E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0042F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Tekući projekt T200207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1575C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Javni radovi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4CAC2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12.000,00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25E4E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17.900,00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6ED2B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149,17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4845D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29.900,00</w:t>
            </w:r>
          </w:p>
        </w:tc>
      </w:tr>
      <w:tr w14:paraId="5695B7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DE346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Program 2003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87E82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Zaštita okoliša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A4DAB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123.300,00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E0BD5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-36.000,00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BF24A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-29,20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5B84E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87.300,00</w:t>
            </w:r>
          </w:p>
        </w:tc>
      </w:tr>
      <w:tr w14:paraId="77603A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580C8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A200205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426D7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Izrada dokumentacije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C9342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7.400,00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33ECB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EE267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2E828C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7.400,00</w:t>
            </w:r>
          </w:p>
        </w:tc>
      </w:tr>
      <w:tr w14:paraId="6B05BF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D6722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Kapitalni projekt K200302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F9548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Energetska obnova zgrada MO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8B8E34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D1C87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0232E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DC6B0B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</w:tr>
      <w:tr w14:paraId="52C5D7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3A1A3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Tekući projekt T200303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532B7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Gospodarenje otpadom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E31B8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111.900,00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710C8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-36.000,00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2BFDC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-32,17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7CAD8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75.900,00</w:t>
            </w:r>
          </w:p>
        </w:tc>
      </w:tr>
      <w:tr w14:paraId="7BEB78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F399D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Program 2004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D65A2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Organiziranje i provođenje zaštite i spašavanja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D1172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53.700,00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52B83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1E038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5F772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53.700,00</w:t>
            </w:r>
          </w:p>
        </w:tc>
      </w:tr>
      <w:tr w14:paraId="40E03A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8782A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A200401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9DEBA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Tekuće donacije - DVD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B28DF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E5AFA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296B6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BC3C6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</w:tr>
      <w:tr w14:paraId="2BB67F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C708B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A200402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1D315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Zaštita i spašavanje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EFDD5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8.700,00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2092C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3A749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29EBB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8.700,00</w:t>
            </w:r>
          </w:p>
        </w:tc>
      </w:tr>
      <w:tr w14:paraId="5F5D2E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4F253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A200403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D12FD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Crveni križ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AAC60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9DA3D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80D9C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131D3A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5.000,00</w:t>
            </w:r>
          </w:p>
        </w:tc>
      </w:tr>
      <w:tr w14:paraId="50DEFE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BC0A2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Program 2005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6F54F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Udruge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86FC7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83.900,00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D6058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E2BEA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D86E7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83.900,00</w:t>
            </w:r>
          </w:p>
        </w:tc>
      </w:tr>
      <w:tr w14:paraId="7CF653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35280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A200501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EF661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Tekuće donacije udrugama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FB8BD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76.900,00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45BA7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0748A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9D2E8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76.900,00</w:t>
            </w:r>
          </w:p>
        </w:tc>
      </w:tr>
      <w:tr w14:paraId="40AD89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C8651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A200502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DEEB2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Pomoći udrugama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8258E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7.000,00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F755B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C1795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BC3F9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7.000,00</w:t>
            </w:r>
          </w:p>
        </w:tc>
      </w:tr>
      <w:tr w14:paraId="003D9F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E90DD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Program 2006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C7FD2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Razvoj poljoprivrede i gospodarstva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EC8F9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186.900,00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54CE6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11.800,00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8A6B6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6,31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A0E87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198.700,00</w:t>
            </w:r>
          </w:p>
        </w:tc>
      </w:tr>
      <w:tr w14:paraId="687033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B8CFB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A200601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4ECF1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Potpore poljoprivrednicima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AEBB6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52.000,00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CBA97B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F64FFE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E08E2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52.000,00</w:t>
            </w:r>
          </w:p>
        </w:tc>
      </w:tr>
      <w:tr w14:paraId="1FF1AA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12B6D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A200602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6765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Potpore obrtnicima i gospodarstvenicima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3259A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28.200,00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0FA87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11.800,00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AE4B2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41,84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1CC93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40.000,00</w:t>
            </w:r>
          </w:p>
        </w:tc>
      </w:tr>
      <w:tr w14:paraId="197B2A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FEE81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A200603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B151F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Razvojna agencija TINTL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2AF7D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C3886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9BAD8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BE883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</w:tr>
      <w:tr w14:paraId="63A6D9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CA60D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A200604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D07FE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LAG Srijem i Klasteri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0E50A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3.400,00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9A7D7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A129D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BF019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3.400,00</w:t>
            </w:r>
          </w:p>
        </w:tc>
      </w:tr>
      <w:tr w14:paraId="207C0B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65B98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A200608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6475D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Poljoprivredno zemljište - izmjera i analiza tla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A265A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33.300,00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B62F4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BEB10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38900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33.300,00</w:t>
            </w:r>
          </w:p>
        </w:tc>
      </w:tr>
      <w:tr w14:paraId="2BD9F2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D401D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A200609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F7972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Centar kompetencija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0165E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9B2BCB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9303F6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A1117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</w:tr>
      <w:tr w14:paraId="617E99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F83F7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Program 2007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02B7F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Razvoj sporta i rekreacije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77F62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389.500,00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92CD8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60.000,00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09211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15,40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2D4B6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449.500,00</w:t>
            </w:r>
          </w:p>
        </w:tc>
      </w:tr>
      <w:tr w14:paraId="2A2038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60D5A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A200701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3CDB3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Tekuće donacije sportskim udrugama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35ACC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69.700,00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E956E9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2BA48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EBF35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69.700,00</w:t>
            </w:r>
          </w:p>
        </w:tc>
      </w:tr>
      <w:tr w14:paraId="54D811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286FB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A200702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86750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Održavanje sportskih zgrada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CC112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275.600,00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8DE4C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60.000,00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AF6DC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21,77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880E83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335.600,00</w:t>
            </w:r>
          </w:p>
        </w:tc>
      </w:tr>
      <w:tr w14:paraId="7DC16B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F6F5E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A200703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A7AFC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Mala škola sporta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FA5AB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82AFF2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C9B21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DFEC0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800,00</w:t>
            </w:r>
          </w:p>
        </w:tc>
      </w:tr>
      <w:tr w14:paraId="1C57DA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A68A1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A200705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39767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Manifestacije sportskih udruga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36583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443DD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7C950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6306C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</w:tr>
      <w:tr w14:paraId="00CB5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F9484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A200708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C5978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Kapitalne donacije sportskim društvima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44E16C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DFD1A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25CE0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E2C93A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</w:tr>
      <w:tr w14:paraId="4BAB99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41590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Kapitalni projekt K200704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6385B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Svlačionica - Orolik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4A8C9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0FBC9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777B6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CD5DD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</w:tr>
      <w:tr w14:paraId="758462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16224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Kapitalni projekt K200707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2530F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Sportsko - rekreacijski centar Gatina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1D7D3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32.000,00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95294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6DEFE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67C0BF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32.000,00</w:t>
            </w:r>
          </w:p>
        </w:tc>
      </w:tr>
      <w:tr w14:paraId="34C751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0E277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Program 2008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AB815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Promicanje kulture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DB013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68.000,00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C4CDE5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A8E9B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73,53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1FFE1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118.000,00</w:t>
            </w:r>
          </w:p>
        </w:tc>
      </w:tr>
      <w:tr w14:paraId="31E459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CBDCB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A200801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5ACC1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Manifestacije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9FF0CF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A8AC77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9D5E3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81C21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</w:tr>
      <w:tr w14:paraId="09060E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E9104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A200806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5692D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Umjetnost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4C2E3D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009E0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ED44F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F5835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17.000,00</w:t>
            </w:r>
          </w:p>
        </w:tc>
      </w:tr>
      <w:tr w14:paraId="215FB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2C98A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Kapitalni projekt K200804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A9DE0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S. dom Srijemske Laze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3CA7E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766D4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50.000,00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25D445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84D460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70.000,00</w:t>
            </w:r>
          </w:p>
        </w:tc>
      </w:tr>
      <w:tr w14:paraId="1668DC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14015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Kapitalni projekt K200805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C8036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Kulturni centar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590CA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825D0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35B58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4DB09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</w:tr>
      <w:tr w14:paraId="09B72C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05BF8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Kapitalni projekt K200807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5DE7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Dom kulture Novi Jankovci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31C63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A6E5B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9E740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EDAD8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11.000,00</w:t>
            </w:r>
          </w:p>
        </w:tc>
      </w:tr>
      <w:tr w14:paraId="53D2B2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9E453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Program 2010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11144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Socijalni program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15464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837.000,00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1EA997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8C782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B98E75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837.000,00</w:t>
            </w:r>
          </w:p>
        </w:tc>
      </w:tr>
      <w:tr w14:paraId="6C9D75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95890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A201002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43AA3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Jednokratne pomoći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AAAF0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8.500,00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14945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40EE5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23D5F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8.500,00</w:t>
            </w:r>
          </w:p>
        </w:tc>
      </w:tr>
      <w:tr w14:paraId="15DE24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E9944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A201003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7C028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Troškovi stanovanja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D29C4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55.000,00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FF651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D3ED3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ABA49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55.000,00</w:t>
            </w:r>
          </w:p>
        </w:tc>
      </w:tr>
      <w:tr w14:paraId="1D2D33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8A603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A201005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772D3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Pomoći građanima i kućanstvima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D54930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206.500,00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B0F034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AEE45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7C0B6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206.500,00</w:t>
            </w:r>
          </w:p>
        </w:tc>
      </w:tr>
      <w:tr w14:paraId="552394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9FAF9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A201008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F9158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Obrazovanje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2DF23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81.100,00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D0CC4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15794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97EDB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81.100,00</w:t>
            </w:r>
          </w:p>
        </w:tc>
      </w:tr>
      <w:tr w14:paraId="50AC5C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B4A87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A201009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05F6F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Zaštita životinja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F8A3C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11.800,00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A1BCA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E53EED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C9AC2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11.800,00</w:t>
            </w:r>
          </w:p>
        </w:tc>
      </w:tr>
      <w:tr w14:paraId="1608FA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5C9B3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A201010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79EB6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Zdravstvo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480D5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5.600,00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7EB88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70D61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CE808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5.600,00</w:t>
            </w:r>
          </w:p>
        </w:tc>
      </w:tr>
      <w:tr w14:paraId="381AF8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EFE73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Kapitalni projekt K201013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B3FBD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Starački dom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4A83F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BBA6D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471B3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BBD6F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10.000,00</w:t>
            </w:r>
          </w:p>
        </w:tc>
      </w:tr>
      <w:tr w14:paraId="12CF49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882F5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Tekući projekt T201012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332A9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Projekt "Pružimo radost"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32BA8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458.500,00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DF92F8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C6C55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90CBC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458.500,00</w:t>
            </w:r>
          </w:p>
        </w:tc>
      </w:tr>
      <w:tr w14:paraId="68D260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1F2E0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bookmarkStart w:id="2" w:name="_GoBack"/>
            <w:bookmarkEnd w:id="2"/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Program 2011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DAC0D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Demografska obnova i unapređenje stanovanja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55E5E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369F9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A5841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6975F0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</w:tr>
      <w:tr w14:paraId="163651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271B4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A201101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7FBE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Naknade za štete građanima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7A31E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BDCAC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9C996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FBA44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4.000,00</w:t>
            </w:r>
          </w:p>
        </w:tc>
      </w:tr>
      <w:tr w14:paraId="026573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465B4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Program 2012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BE48E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Financiranje vjerskih zajednica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FB823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5.400,00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75B54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884B52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B4090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5.400,00</w:t>
            </w:r>
          </w:p>
        </w:tc>
      </w:tr>
      <w:tr w14:paraId="76A554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8D1EE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A201201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8B0A3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Financiranje vjerskih zajednica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59A98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5.400,00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8A4CE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815B2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A956A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5.400,00</w:t>
            </w:r>
          </w:p>
        </w:tc>
      </w:tr>
      <w:tr w14:paraId="24F9AB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18709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Program 2013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ABD41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Zaštita i promicanje prava i interesa  osoba s invaliditetom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897B5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9B6E5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D4A151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5D6F6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</w:tr>
      <w:tr w14:paraId="541A36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B3154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A201301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7AAB9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Naknada zbog nezapošljavanja osoba s invaliditetom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36480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D37A9E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86D34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F463A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1.400,00</w:t>
            </w:r>
          </w:p>
        </w:tc>
      </w:tr>
      <w:tr w14:paraId="612BA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2C6A7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Program 2015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2DA49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Razvoj i sigurnost prometa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E0342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6.600,00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18951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AAD95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7F638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6.600,00</w:t>
            </w:r>
          </w:p>
        </w:tc>
      </w:tr>
      <w:tr w14:paraId="37B27A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08D62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A201501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B06FB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Prometna signalizacija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E270D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6.600,00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4523D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32E8D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72195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6.600,00</w:t>
            </w:r>
          </w:p>
        </w:tc>
      </w:tr>
      <w:tr w14:paraId="4D36A7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4AD54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Program 2018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43EF9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Pomoći ustanovama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2AD660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10.700,00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6C91B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29329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AB9F6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10.700,00</w:t>
            </w:r>
          </w:p>
        </w:tc>
      </w:tr>
      <w:tr w14:paraId="5873E1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CF453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A201801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B5955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Pomoći ustanovama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41EEBE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10.700,00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52EAAB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5A0A5E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A9BDA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10.700,00</w:t>
            </w:r>
          </w:p>
        </w:tc>
      </w:tr>
      <w:tr w14:paraId="536BCA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19E56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Program 2019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D03AE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Izgradnja komunalne infrastrukture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724789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2.016.500,00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1B0C1D8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-226.000,00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4661F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-11,21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43397A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1.790.500,00</w:t>
            </w:r>
          </w:p>
        </w:tc>
      </w:tr>
      <w:tr w14:paraId="4FBC87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3F22A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A201901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DFAA8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Javne prometne površine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DB02D9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152.800,00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3414D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-126.000,00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4C2AEC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-82,46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FD638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26.800,00</w:t>
            </w:r>
          </w:p>
        </w:tc>
      </w:tr>
      <w:tr w14:paraId="248C5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DC916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A201902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04F1F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Javne prometne površine na kojima nije dopušten promet motornih vozila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E098D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1.161.500,00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C61D60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FD422E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375F7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1.161.500,00</w:t>
            </w:r>
          </w:p>
        </w:tc>
      </w:tr>
      <w:tr w14:paraId="7D76FD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4B78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A201903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68893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Javna parkirališta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CE15BF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160.000,00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CCE11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B6D65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11BB2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160.000,00</w:t>
            </w:r>
          </w:p>
        </w:tc>
      </w:tr>
      <w:tr w14:paraId="3A9B6B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337C2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A201904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FCE6B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Javne zelene površine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A6212A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187.700,00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E2F2F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70CE5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90DD6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187.700,00</w:t>
            </w:r>
          </w:p>
        </w:tc>
      </w:tr>
      <w:tr w14:paraId="54ADAE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93834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A201905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F1E15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Građevine i uređaji javne namjene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B6853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162.100,00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7858B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-100.000,00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D1713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-61,69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138E2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62.100,00</w:t>
            </w:r>
          </w:p>
        </w:tc>
      </w:tr>
      <w:tr w14:paraId="7B3A4F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83879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A201906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8B8C1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Intelektualne usluge i izrada projektne dokumentacije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A2140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192.400,00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47000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6DEE6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12F4B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192.400,00</w:t>
            </w:r>
          </w:p>
        </w:tc>
      </w:tr>
      <w:tr w14:paraId="216C41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302B7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Program 2020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636889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Redovna djelatnost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343EE7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250.000,00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5737FD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0F31AE3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C1C1FF" w:fill="C1C1FF"/>
            <w:vAlign w:val="center"/>
          </w:tcPr>
          <w:p w14:paraId="44451D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250.000,00</w:t>
            </w:r>
          </w:p>
        </w:tc>
      </w:tr>
      <w:tr w14:paraId="45B231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70E7AC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Aktivnost A202001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1D85B2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Redovna djelatnost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078449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242.000,00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3D2948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77AB4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4AE67FA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242.000,00</w:t>
            </w:r>
          </w:p>
        </w:tc>
      </w:tr>
      <w:tr w14:paraId="4B6402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3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5A51C6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Kapitalni projekt K202003</w:t>
            </w:r>
          </w:p>
        </w:tc>
        <w:tc>
          <w:tcPr>
            <w:tcW w:w="58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65AAFC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Oprema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A7999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8.000,00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270969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35D13D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0,00</w:t>
            </w:r>
          </w:p>
        </w:tc>
        <w:tc>
          <w:tcPr>
            <w:tcW w:w="169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E1E1FF" w:fill="E1E1FF"/>
            <w:vAlign w:val="center"/>
          </w:tcPr>
          <w:p w14:paraId="031342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Arial" w:hAnsi="Arial" w:eastAsia="SimSun" w:cs="Arial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8.000,00</w:t>
            </w:r>
          </w:p>
        </w:tc>
      </w:tr>
    </w:tbl>
    <w:p w14:paraId="22F4DCEB">
      <w:pPr>
        <w:rPr>
          <w:rFonts w:ascii="Times New Roman" w:hAnsi="Times New Roman" w:cs="Times New Roman"/>
          <w:sz w:val="24"/>
          <w:szCs w:val="24"/>
        </w:rPr>
      </w:pPr>
    </w:p>
    <w:p w14:paraId="14E47DED">
      <w:pPr>
        <w:widowControl/>
        <w:suppressAutoHyphens w:val="0"/>
        <w:autoSpaceDN/>
        <w:spacing w:after="0"/>
        <w:jc w:val="left"/>
        <w:rPr>
          <w:rFonts w:ascii="Times New Roman" w:hAnsi="Times New Roman" w:eastAsia="Times New Roman" w:cs="Times New Roman"/>
          <w:kern w:val="0"/>
          <w:sz w:val="0"/>
          <w:szCs w:val="20"/>
          <w:lang w:eastAsia="hr-HR"/>
        </w:rPr>
      </w:pPr>
    </w:p>
    <w:p w14:paraId="777028ED">
      <w:pPr>
        <w:pStyle w:val="6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de-DE"/>
        </w:rPr>
        <w:t>5. ZAKLJU</w:t>
      </w:r>
      <w:r>
        <w:rPr>
          <w:rFonts w:ascii="Times New Roman" w:hAnsi="Times New Roman" w:cs="Times New Roman"/>
          <w:b/>
          <w:bCs/>
          <w:sz w:val="24"/>
          <w:szCs w:val="24"/>
        </w:rPr>
        <w:t>ČAK</w:t>
      </w:r>
    </w:p>
    <w:p w14:paraId="24DF0B07">
      <w:pPr>
        <w:pStyle w:val="6"/>
        <w:spacing w:after="0"/>
        <w:jc w:val="left"/>
        <w:rPr>
          <w:sz w:val="24"/>
          <w:szCs w:val="24"/>
        </w:rPr>
      </w:pPr>
    </w:p>
    <w:p w14:paraId="1BB6D9FF">
      <w:pPr>
        <w:pStyle w:val="6"/>
        <w:spacing w:after="0"/>
        <w:jc w:val="left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Kao što je u uvodu rečeno razlozi I. Izmjena i dopuna Proračuna za 202</w:t>
      </w:r>
      <w:r>
        <w:rPr>
          <w:rFonts w:hint="default" w:ascii="Times New Roman" w:hAnsi="Times New Roman" w:cs="Times New Roman"/>
          <w:sz w:val="24"/>
          <w:szCs w:val="24"/>
          <w:lang w:val="hr-HR"/>
        </w:rPr>
        <w:t>5</w:t>
      </w:r>
      <w:r>
        <w:rPr>
          <w:rFonts w:ascii="Times New Roman" w:hAnsi="Times New Roman" w:cs="Times New Roman"/>
          <w:sz w:val="24"/>
          <w:szCs w:val="24"/>
        </w:rPr>
        <w:t>. godinu jesu izmjene i usklađenja između pozicija u prihodima i rashodima.</w:t>
      </w:r>
    </w:p>
    <w:p w14:paraId="50D5C5EE">
      <w:pPr>
        <w:pStyle w:val="6"/>
        <w:spacing w:after="0"/>
        <w:jc w:val="left"/>
        <w:rPr>
          <w:rFonts w:cs="Calibri"/>
          <w:sz w:val="24"/>
          <w:szCs w:val="24"/>
        </w:rPr>
      </w:pPr>
    </w:p>
    <w:p w14:paraId="766AA7B1">
      <w:pPr>
        <w:pStyle w:val="6"/>
        <w:spacing w:after="0"/>
        <w:jc w:val="left"/>
        <w:rPr>
          <w:rFonts w:cs="Calibri"/>
          <w:sz w:val="24"/>
          <w:szCs w:val="24"/>
        </w:rPr>
      </w:pPr>
    </w:p>
    <w:p w14:paraId="24068F07">
      <w:pPr>
        <w:pStyle w:val="6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14:paraId="21A7791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Općinski načelnik:</w:t>
      </w:r>
    </w:p>
    <w:p w14:paraId="45121DE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_______________________                                 </w:t>
      </w:r>
    </w:p>
    <w:p w14:paraId="68ADDE7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Dragan Sudarević, ing.el.        </w:t>
      </w:r>
    </w:p>
    <w:p w14:paraId="713D5698"/>
    <w:p w14:paraId="593008B7">
      <w:pPr>
        <w:pStyle w:val="6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22CB4C4B">
      <w:pPr>
        <w:pStyle w:val="6"/>
        <w:spacing w:after="0"/>
        <w:jc w:val="right"/>
      </w:pPr>
    </w:p>
    <w:p w14:paraId="6C3A9DBA">
      <w:pPr>
        <w:pStyle w:val="6"/>
        <w:spacing w:after="0"/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14:paraId="6D288461"/>
    <w:sectPr>
      <w:pgSz w:w="16838" w:h="11906" w:orient="landscape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Lucida Sans">
    <w:altName w:val="Lucida Sans Unicode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rimo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945800"/>
    <w:multiLevelType w:val="singleLevel"/>
    <w:tmpl w:val="AD945800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56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2"/>
  </w:compat>
  <w:rsids>
    <w:rsidRoot w:val="00E743B8"/>
    <w:rsid w:val="0002135F"/>
    <w:rsid w:val="00021D4B"/>
    <w:rsid w:val="00035EF4"/>
    <w:rsid w:val="0003729F"/>
    <w:rsid w:val="00037A61"/>
    <w:rsid w:val="000400ED"/>
    <w:rsid w:val="00041428"/>
    <w:rsid w:val="00046C57"/>
    <w:rsid w:val="0004780A"/>
    <w:rsid w:val="00051F7A"/>
    <w:rsid w:val="00057F18"/>
    <w:rsid w:val="00060BE6"/>
    <w:rsid w:val="000626ED"/>
    <w:rsid w:val="00065C2D"/>
    <w:rsid w:val="00075992"/>
    <w:rsid w:val="00081212"/>
    <w:rsid w:val="000820B1"/>
    <w:rsid w:val="0009071B"/>
    <w:rsid w:val="000A79B5"/>
    <w:rsid w:val="000B386B"/>
    <w:rsid w:val="000D7E7A"/>
    <w:rsid w:val="000E11C6"/>
    <w:rsid w:val="000E1AB2"/>
    <w:rsid w:val="001302D9"/>
    <w:rsid w:val="00141070"/>
    <w:rsid w:val="00145364"/>
    <w:rsid w:val="001462FB"/>
    <w:rsid w:val="00161D1B"/>
    <w:rsid w:val="00170C55"/>
    <w:rsid w:val="00172C58"/>
    <w:rsid w:val="001741C3"/>
    <w:rsid w:val="00180050"/>
    <w:rsid w:val="0018319F"/>
    <w:rsid w:val="00195565"/>
    <w:rsid w:val="001A1575"/>
    <w:rsid w:val="001A5C29"/>
    <w:rsid w:val="001A5F9E"/>
    <w:rsid w:val="001A7B9B"/>
    <w:rsid w:val="001D0774"/>
    <w:rsid w:val="001D1093"/>
    <w:rsid w:val="001D2E82"/>
    <w:rsid w:val="001D4ECD"/>
    <w:rsid w:val="001E3B8E"/>
    <w:rsid w:val="001E3C57"/>
    <w:rsid w:val="00200238"/>
    <w:rsid w:val="002023DC"/>
    <w:rsid w:val="0021034E"/>
    <w:rsid w:val="00221965"/>
    <w:rsid w:val="0022235A"/>
    <w:rsid w:val="0022380E"/>
    <w:rsid w:val="00226D4C"/>
    <w:rsid w:val="00244BEA"/>
    <w:rsid w:val="002565BA"/>
    <w:rsid w:val="00264944"/>
    <w:rsid w:val="00265765"/>
    <w:rsid w:val="00274AB6"/>
    <w:rsid w:val="00275562"/>
    <w:rsid w:val="00280E5C"/>
    <w:rsid w:val="00281299"/>
    <w:rsid w:val="002A1443"/>
    <w:rsid w:val="002A40ED"/>
    <w:rsid w:val="002A667E"/>
    <w:rsid w:val="002C5D45"/>
    <w:rsid w:val="002D7F75"/>
    <w:rsid w:val="002E4F23"/>
    <w:rsid w:val="002E5F30"/>
    <w:rsid w:val="002E6674"/>
    <w:rsid w:val="002F3EDA"/>
    <w:rsid w:val="00303EE2"/>
    <w:rsid w:val="0031315B"/>
    <w:rsid w:val="00315250"/>
    <w:rsid w:val="00327FB1"/>
    <w:rsid w:val="00344009"/>
    <w:rsid w:val="00347CB7"/>
    <w:rsid w:val="00350F53"/>
    <w:rsid w:val="0035527A"/>
    <w:rsid w:val="003561E6"/>
    <w:rsid w:val="00367811"/>
    <w:rsid w:val="003905A8"/>
    <w:rsid w:val="00390C50"/>
    <w:rsid w:val="00395153"/>
    <w:rsid w:val="003A6F49"/>
    <w:rsid w:val="003B5F4E"/>
    <w:rsid w:val="003B79C1"/>
    <w:rsid w:val="003C3610"/>
    <w:rsid w:val="003D5FE7"/>
    <w:rsid w:val="003E0509"/>
    <w:rsid w:val="00403F0C"/>
    <w:rsid w:val="00412AFA"/>
    <w:rsid w:val="00416A31"/>
    <w:rsid w:val="004260DE"/>
    <w:rsid w:val="00430595"/>
    <w:rsid w:val="00430762"/>
    <w:rsid w:val="00444BD9"/>
    <w:rsid w:val="0045424E"/>
    <w:rsid w:val="00455CA4"/>
    <w:rsid w:val="00457A75"/>
    <w:rsid w:val="00462D46"/>
    <w:rsid w:val="00470345"/>
    <w:rsid w:val="00475451"/>
    <w:rsid w:val="004821F0"/>
    <w:rsid w:val="00483689"/>
    <w:rsid w:val="00491103"/>
    <w:rsid w:val="00492658"/>
    <w:rsid w:val="004B6F30"/>
    <w:rsid w:val="004C556C"/>
    <w:rsid w:val="004D5A7F"/>
    <w:rsid w:val="004E2F5E"/>
    <w:rsid w:val="004E4C63"/>
    <w:rsid w:val="004F266E"/>
    <w:rsid w:val="00502A44"/>
    <w:rsid w:val="00503A55"/>
    <w:rsid w:val="005121C0"/>
    <w:rsid w:val="00547F9D"/>
    <w:rsid w:val="00550EED"/>
    <w:rsid w:val="00562F48"/>
    <w:rsid w:val="0057016D"/>
    <w:rsid w:val="0057204E"/>
    <w:rsid w:val="00573837"/>
    <w:rsid w:val="00576255"/>
    <w:rsid w:val="00580CBD"/>
    <w:rsid w:val="005A04C3"/>
    <w:rsid w:val="005A7878"/>
    <w:rsid w:val="005B221F"/>
    <w:rsid w:val="005B4AF6"/>
    <w:rsid w:val="005C066B"/>
    <w:rsid w:val="005D06A4"/>
    <w:rsid w:val="005D5EAB"/>
    <w:rsid w:val="005E3C98"/>
    <w:rsid w:val="00600F8E"/>
    <w:rsid w:val="00605100"/>
    <w:rsid w:val="00612958"/>
    <w:rsid w:val="0061467D"/>
    <w:rsid w:val="006225A4"/>
    <w:rsid w:val="00624FA7"/>
    <w:rsid w:val="006344C8"/>
    <w:rsid w:val="00634DF1"/>
    <w:rsid w:val="0063528D"/>
    <w:rsid w:val="006568E3"/>
    <w:rsid w:val="006613EB"/>
    <w:rsid w:val="00674DC8"/>
    <w:rsid w:val="006866A1"/>
    <w:rsid w:val="006930C7"/>
    <w:rsid w:val="006C2B84"/>
    <w:rsid w:val="006E4D32"/>
    <w:rsid w:val="007068CB"/>
    <w:rsid w:val="00707DB0"/>
    <w:rsid w:val="00713720"/>
    <w:rsid w:val="00724839"/>
    <w:rsid w:val="0073266B"/>
    <w:rsid w:val="007333EC"/>
    <w:rsid w:val="00743773"/>
    <w:rsid w:val="00746464"/>
    <w:rsid w:val="00751E1C"/>
    <w:rsid w:val="0075421B"/>
    <w:rsid w:val="007631E8"/>
    <w:rsid w:val="00773A9D"/>
    <w:rsid w:val="00775DBC"/>
    <w:rsid w:val="007820F3"/>
    <w:rsid w:val="0078561C"/>
    <w:rsid w:val="0078651F"/>
    <w:rsid w:val="007D6D42"/>
    <w:rsid w:val="007E3573"/>
    <w:rsid w:val="00814B32"/>
    <w:rsid w:val="0082039F"/>
    <w:rsid w:val="00822416"/>
    <w:rsid w:val="00832655"/>
    <w:rsid w:val="008343DE"/>
    <w:rsid w:val="00847D02"/>
    <w:rsid w:val="00855CEF"/>
    <w:rsid w:val="00865D15"/>
    <w:rsid w:val="00867241"/>
    <w:rsid w:val="008741EE"/>
    <w:rsid w:val="0088775A"/>
    <w:rsid w:val="00887DF5"/>
    <w:rsid w:val="008962EE"/>
    <w:rsid w:val="008A03C6"/>
    <w:rsid w:val="008B13B0"/>
    <w:rsid w:val="008B2F54"/>
    <w:rsid w:val="008C7637"/>
    <w:rsid w:val="008F110B"/>
    <w:rsid w:val="008F21FD"/>
    <w:rsid w:val="008F2686"/>
    <w:rsid w:val="00924154"/>
    <w:rsid w:val="009314F5"/>
    <w:rsid w:val="0094438D"/>
    <w:rsid w:val="00950A33"/>
    <w:rsid w:val="00955B07"/>
    <w:rsid w:val="009772FE"/>
    <w:rsid w:val="009A3757"/>
    <w:rsid w:val="009A4068"/>
    <w:rsid w:val="009B0893"/>
    <w:rsid w:val="009B1A8F"/>
    <w:rsid w:val="009C01AD"/>
    <w:rsid w:val="009D7E64"/>
    <w:rsid w:val="009F27A9"/>
    <w:rsid w:val="00A01CA7"/>
    <w:rsid w:val="00A11267"/>
    <w:rsid w:val="00A15D2F"/>
    <w:rsid w:val="00A27DC5"/>
    <w:rsid w:val="00A43740"/>
    <w:rsid w:val="00A64BDE"/>
    <w:rsid w:val="00A67B76"/>
    <w:rsid w:val="00A808D2"/>
    <w:rsid w:val="00A81964"/>
    <w:rsid w:val="00A946ED"/>
    <w:rsid w:val="00A95F4A"/>
    <w:rsid w:val="00AA089A"/>
    <w:rsid w:val="00AA6434"/>
    <w:rsid w:val="00AC1682"/>
    <w:rsid w:val="00AC3585"/>
    <w:rsid w:val="00AD2E19"/>
    <w:rsid w:val="00B00644"/>
    <w:rsid w:val="00B07D04"/>
    <w:rsid w:val="00B1355D"/>
    <w:rsid w:val="00B13ADE"/>
    <w:rsid w:val="00B16784"/>
    <w:rsid w:val="00B20CA7"/>
    <w:rsid w:val="00B305DD"/>
    <w:rsid w:val="00B3133A"/>
    <w:rsid w:val="00B56CA8"/>
    <w:rsid w:val="00B773DB"/>
    <w:rsid w:val="00B85A21"/>
    <w:rsid w:val="00B9582B"/>
    <w:rsid w:val="00BA3C4E"/>
    <w:rsid w:val="00BA74E8"/>
    <w:rsid w:val="00BB1326"/>
    <w:rsid w:val="00BC2000"/>
    <w:rsid w:val="00BF2D78"/>
    <w:rsid w:val="00BF304B"/>
    <w:rsid w:val="00BF6139"/>
    <w:rsid w:val="00C30665"/>
    <w:rsid w:val="00C37B9F"/>
    <w:rsid w:val="00C41F5E"/>
    <w:rsid w:val="00C5389D"/>
    <w:rsid w:val="00C61ACC"/>
    <w:rsid w:val="00C61D5E"/>
    <w:rsid w:val="00C65862"/>
    <w:rsid w:val="00C75B10"/>
    <w:rsid w:val="00C77641"/>
    <w:rsid w:val="00C81013"/>
    <w:rsid w:val="00C82E3E"/>
    <w:rsid w:val="00C86AAB"/>
    <w:rsid w:val="00CA7EEC"/>
    <w:rsid w:val="00CB02AB"/>
    <w:rsid w:val="00CB3F38"/>
    <w:rsid w:val="00CC0085"/>
    <w:rsid w:val="00CC1303"/>
    <w:rsid w:val="00CD10D9"/>
    <w:rsid w:val="00CE09A4"/>
    <w:rsid w:val="00CE7775"/>
    <w:rsid w:val="00CF0051"/>
    <w:rsid w:val="00CF41C9"/>
    <w:rsid w:val="00D02381"/>
    <w:rsid w:val="00D02CAF"/>
    <w:rsid w:val="00D14816"/>
    <w:rsid w:val="00D16446"/>
    <w:rsid w:val="00D17F4F"/>
    <w:rsid w:val="00D21745"/>
    <w:rsid w:val="00D36841"/>
    <w:rsid w:val="00D405EC"/>
    <w:rsid w:val="00D43D5D"/>
    <w:rsid w:val="00D4789A"/>
    <w:rsid w:val="00D60865"/>
    <w:rsid w:val="00D64FEB"/>
    <w:rsid w:val="00D76D25"/>
    <w:rsid w:val="00D77AB1"/>
    <w:rsid w:val="00D947B2"/>
    <w:rsid w:val="00D95588"/>
    <w:rsid w:val="00D96DE7"/>
    <w:rsid w:val="00D97A04"/>
    <w:rsid w:val="00DB17DD"/>
    <w:rsid w:val="00DB520E"/>
    <w:rsid w:val="00DC068B"/>
    <w:rsid w:val="00DC22A0"/>
    <w:rsid w:val="00DC3BAE"/>
    <w:rsid w:val="00DD0F83"/>
    <w:rsid w:val="00DD5701"/>
    <w:rsid w:val="00DF0DBA"/>
    <w:rsid w:val="00DF1158"/>
    <w:rsid w:val="00E07634"/>
    <w:rsid w:val="00E22F62"/>
    <w:rsid w:val="00E30F15"/>
    <w:rsid w:val="00E31275"/>
    <w:rsid w:val="00E35B52"/>
    <w:rsid w:val="00E62DE7"/>
    <w:rsid w:val="00E63BA5"/>
    <w:rsid w:val="00E666B7"/>
    <w:rsid w:val="00E743B8"/>
    <w:rsid w:val="00E74DE3"/>
    <w:rsid w:val="00E80B20"/>
    <w:rsid w:val="00E85F92"/>
    <w:rsid w:val="00E900CD"/>
    <w:rsid w:val="00E97AEF"/>
    <w:rsid w:val="00EC02E3"/>
    <w:rsid w:val="00EC0FEA"/>
    <w:rsid w:val="00EC59C7"/>
    <w:rsid w:val="00EC6156"/>
    <w:rsid w:val="00EC62F5"/>
    <w:rsid w:val="00EE35E6"/>
    <w:rsid w:val="00EF1A8F"/>
    <w:rsid w:val="00EF6770"/>
    <w:rsid w:val="00F0258C"/>
    <w:rsid w:val="00F2213A"/>
    <w:rsid w:val="00F27115"/>
    <w:rsid w:val="00F3324C"/>
    <w:rsid w:val="00F3337B"/>
    <w:rsid w:val="00F711B9"/>
    <w:rsid w:val="00F7563A"/>
    <w:rsid w:val="00F75821"/>
    <w:rsid w:val="00F842A0"/>
    <w:rsid w:val="00F905AD"/>
    <w:rsid w:val="00FA205A"/>
    <w:rsid w:val="00FB3EA3"/>
    <w:rsid w:val="00FB53F0"/>
    <w:rsid w:val="00FD543A"/>
    <w:rsid w:val="00FD5448"/>
    <w:rsid w:val="08331281"/>
    <w:rsid w:val="09C56195"/>
    <w:rsid w:val="4F3E7DE1"/>
    <w:rsid w:val="596D4045"/>
    <w:rsid w:val="6CC77115"/>
    <w:rsid w:val="7A686EA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autoSpaceDN w:val="0"/>
      <w:spacing w:after="200" w:line="240" w:lineRule="auto"/>
      <w:jc w:val="both"/>
    </w:pPr>
    <w:rPr>
      <w:rFonts w:ascii="Calibri" w:hAnsi="Calibri" w:eastAsia="SimSun" w:cs="Tahoma"/>
      <w:kern w:val="3"/>
      <w:sz w:val="22"/>
      <w:szCs w:val="22"/>
      <w:lang w:val="hr-HR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8"/>
    <w:semiHidden/>
    <w:unhideWhenUsed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5">
    <w:name w:val="caption"/>
    <w:basedOn w:val="6"/>
    <w:semiHidden/>
    <w:unhideWhenUsed/>
    <w:qFormat/>
    <w:uiPriority w:val="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6">
    <w:name w:val="Standard"/>
    <w:qFormat/>
    <w:uiPriority w:val="0"/>
    <w:pPr>
      <w:suppressAutoHyphens/>
      <w:autoSpaceDN w:val="0"/>
      <w:spacing w:after="200" w:line="240" w:lineRule="auto"/>
      <w:jc w:val="both"/>
    </w:pPr>
    <w:rPr>
      <w:rFonts w:ascii="Calibri" w:hAnsi="Calibri" w:eastAsia="SimSun" w:cs="Tahoma"/>
      <w:kern w:val="3"/>
      <w:sz w:val="22"/>
      <w:szCs w:val="22"/>
      <w:lang w:val="hr-HR" w:eastAsia="en-US" w:bidi="ar-SA"/>
    </w:rPr>
  </w:style>
  <w:style w:type="character" w:styleId="7">
    <w:name w:val="annotation reference"/>
    <w:basedOn w:val="2"/>
    <w:semiHidden/>
    <w:unhideWhenUsed/>
    <w:uiPriority w:val="99"/>
    <w:rPr>
      <w:sz w:val="16"/>
      <w:szCs w:val="16"/>
    </w:rPr>
  </w:style>
  <w:style w:type="paragraph" w:styleId="8">
    <w:name w:val="annotation text"/>
    <w:basedOn w:val="1"/>
    <w:link w:val="22"/>
    <w:semiHidden/>
    <w:unhideWhenUsed/>
    <w:qFormat/>
    <w:uiPriority w:val="99"/>
    <w:rPr>
      <w:sz w:val="20"/>
      <w:szCs w:val="20"/>
    </w:rPr>
  </w:style>
  <w:style w:type="paragraph" w:styleId="9">
    <w:name w:val="annotation subject"/>
    <w:basedOn w:val="8"/>
    <w:next w:val="8"/>
    <w:link w:val="23"/>
    <w:semiHidden/>
    <w:unhideWhenUsed/>
    <w:uiPriority w:val="99"/>
    <w:rPr>
      <w:b/>
      <w:bCs/>
    </w:rPr>
  </w:style>
  <w:style w:type="paragraph" w:styleId="10">
    <w:name w:val="List"/>
    <w:basedOn w:val="11"/>
    <w:semiHidden/>
    <w:unhideWhenUsed/>
    <w:uiPriority w:val="0"/>
    <w:rPr>
      <w:rFonts w:cs="Lucida Sans"/>
    </w:rPr>
  </w:style>
  <w:style w:type="paragraph" w:customStyle="1" w:styleId="11">
    <w:name w:val="Text body"/>
    <w:basedOn w:val="6"/>
    <w:qFormat/>
    <w:uiPriority w:val="0"/>
    <w:pPr>
      <w:spacing w:after="120"/>
    </w:pPr>
  </w:style>
  <w:style w:type="paragraph" w:customStyle="1" w:styleId="12">
    <w:name w:val="msonormal"/>
    <w:basedOn w:val="1"/>
    <w:qFormat/>
    <w:uiPriority w:val="0"/>
    <w:pPr>
      <w:widowControl/>
      <w:suppressAutoHyphens w:val="0"/>
      <w:autoSpaceDN/>
      <w:spacing w:before="100" w:beforeAutospacing="1" w:after="100" w:afterAutospacing="1"/>
      <w:jc w:val="left"/>
    </w:pPr>
    <w:rPr>
      <w:rFonts w:ascii="Times New Roman" w:hAnsi="Times New Roman" w:eastAsia="Times New Roman" w:cs="Times New Roman"/>
      <w:kern w:val="0"/>
      <w:sz w:val="24"/>
      <w:szCs w:val="24"/>
      <w:lang w:eastAsia="hr-HR"/>
    </w:rPr>
  </w:style>
  <w:style w:type="paragraph" w:styleId="13">
    <w:name w:val="List Paragraph"/>
    <w:basedOn w:val="1"/>
    <w:qFormat/>
    <w:uiPriority w:val="0"/>
    <w:pPr>
      <w:widowControl/>
      <w:suppressAutoHyphens w:val="0"/>
      <w:spacing w:after="0"/>
      <w:ind w:left="720"/>
      <w:jc w:val="left"/>
    </w:pPr>
    <w:rPr>
      <w:rFonts w:ascii="Times New Roman" w:hAnsi="Times New Roman" w:eastAsia="Times New Roman" w:cs="Times New Roman"/>
      <w:kern w:val="0"/>
      <w:sz w:val="24"/>
      <w:szCs w:val="24"/>
      <w:lang w:eastAsia="hr-HR"/>
    </w:rPr>
  </w:style>
  <w:style w:type="paragraph" w:customStyle="1" w:styleId="14">
    <w:name w:val="Heading"/>
    <w:basedOn w:val="6"/>
    <w:next w:val="11"/>
    <w:qFormat/>
    <w:uiPriority w:val="0"/>
    <w:pPr>
      <w:keepNext/>
      <w:spacing w:before="240" w:after="120"/>
    </w:pPr>
    <w:rPr>
      <w:rFonts w:ascii="Arial" w:hAnsi="Arial" w:eastAsia="Microsoft YaHei" w:cs="Lucida Sans"/>
      <w:sz w:val="28"/>
      <w:szCs w:val="28"/>
    </w:rPr>
  </w:style>
  <w:style w:type="paragraph" w:customStyle="1" w:styleId="15">
    <w:name w:val="Index"/>
    <w:basedOn w:val="6"/>
    <w:qFormat/>
    <w:uiPriority w:val="0"/>
    <w:pPr>
      <w:suppressLineNumbers/>
    </w:pPr>
    <w:rPr>
      <w:rFonts w:cs="Lucida Sans"/>
    </w:rPr>
  </w:style>
  <w:style w:type="paragraph" w:customStyle="1" w:styleId="16">
    <w:name w:val="Table Contents"/>
    <w:basedOn w:val="6"/>
    <w:qFormat/>
    <w:uiPriority w:val="0"/>
    <w:pPr>
      <w:suppressLineNumbers/>
    </w:pPr>
  </w:style>
  <w:style w:type="paragraph" w:customStyle="1" w:styleId="17">
    <w:name w:val="Table Heading"/>
    <w:basedOn w:val="16"/>
    <w:uiPriority w:val="0"/>
    <w:pPr>
      <w:jc w:val="center"/>
    </w:pPr>
    <w:rPr>
      <w:b/>
      <w:bCs/>
    </w:rPr>
  </w:style>
  <w:style w:type="character" w:customStyle="1" w:styleId="18">
    <w:name w:val="Tekst balončića Char"/>
    <w:basedOn w:val="2"/>
    <w:link w:val="4"/>
    <w:semiHidden/>
    <w:qFormat/>
    <w:uiPriority w:val="99"/>
    <w:rPr>
      <w:rFonts w:ascii="Segoe UI" w:hAnsi="Segoe UI" w:eastAsia="SimSun" w:cs="Segoe UI"/>
      <w:kern w:val="3"/>
      <w:sz w:val="18"/>
      <w:szCs w:val="18"/>
    </w:rPr>
  </w:style>
  <w:style w:type="paragraph" w:styleId="19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hr-HR" w:eastAsia="en-US" w:bidi="ar-SA"/>
    </w:rPr>
  </w:style>
  <w:style w:type="paragraph" w:customStyle="1" w:styleId="20">
    <w:name w:val="EMPTY_CELL_STYLE"/>
    <w:basedOn w:val="1"/>
    <w:qFormat/>
    <w:uiPriority w:val="0"/>
    <w:pPr>
      <w:widowControl/>
      <w:suppressAutoHyphens w:val="0"/>
      <w:autoSpaceDN/>
      <w:spacing w:after="0"/>
      <w:jc w:val="left"/>
    </w:pPr>
    <w:rPr>
      <w:rFonts w:ascii="Arimo" w:hAnsi="Arimo" w:eastAsia="Arimo" w:cs="Arimo"/>
      <w:color w:val="000000"/>
      <w:kern w:val="0"/>
      <w:sz w:val="1"/>
      <w:szCs w:val="20"/>
      <w:lang w:eastAsia="hr-HR"/>
    </w:rPr>
  </w:style>
  <w:style w:type="paragraph" w:customStyle="1" w:styleId="21">
    <w:name w:val="EmptyCellLayoutStyle"/>
    <w:qFormat/>
    <w:uiPriority w:val="0"/>
    <w:pPr>
      <w:spacing w:after="160" w:line="259" w:lineRule="auto"/>
    </w:pPr>
    <w:rPr>
      <w:rFonts w:ascii="Times New Roman" w:hAnsi="Times New Roman" w:eastAsia="Times New Roman" w:cs="Times New Roman"/>
      <w:sz w:val="2"/>
      <w:szCs w:val="20"/>
      <w:lang w:val="hr-HR" w:eastAsia="hr-HR" w:bidi="ar-SA"/>
    </w:rPr>
  </w:style>
  <w:style w:type="character" w:customStyle="1" w:styleId="22">
    <w:name w:val="Tekst komentara Char"/>
    <w:basedOn w:val="2"/>
    <w:link w:val="8"/>
    <w:semiHidden/>
    <w:qFormat/>
    <w:uiPriority w:val="99"/>
    <w:rPr>
      <w:rFonts w:ascii="Calibri" w:hAnsi="Calibri" w:eastAsia="SimSun" w:cs="Tahoma"/>
      <w:kern w:val="3"/>
      <w:sz w:val="20"/>
      <w:szCs w:val="20"/>
    </w:rPr>
  </w:style>
  <w:style w:type="character" w:customStyle="1" w:styleId="23">
    <w:name w:val="Predmet komentara Char"/>
    <w:basedOn w:val="22"/>
    <w:link w:val="9"/>
    <w:semiHidden/>
    <w:qFormat/>
    <w:uiPriority w:val="99"/>
    <w:rPr>
      <w:rFonts w:ascii="Calibri" w:hAnsi="Calibri" w:eastAsia="SimSun" w:cs="Tahoma"/>
      <w:b/>
      <w:bCs/>
      <w:kern w:val="3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1914</Words>
  <Characters>10916</Characters>
  <Lines>90</Lines>
  <Paragraphs>25</Paragraphs>
  <TotalTime>3713</TotalTime>
  <ScaleCrop>false</ScaleCrop>
  <LinksUpToDate>false</LinksUpToDate>
  <CharactersWithSpaces>12805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2020-07-27T09:51:00Z</dcterms:created>
  <dc:creator>home</dc:creator>
  <cp:lastModifiedBy>Veronika Jukić</cp:lastModifiedBy>
  <cp:lastPrinted>2021-12-10T13:32:00Z</cp:lastPrinted>
  <dcterms:modified xsi:type="dcterms:W3CDTF">2025-10-22T12:56:07Z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A880551035154DA79919015563276AB4_12</vt:lpwstr>
  </property>
</Properties>
</file>